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D23F3" w14:textId="77777777" w:rsidR="001E27CD" w:rsidRPr="00E64E35" w:rsidRDefault="001E27CD" w:rsidP="001E27CD">
      <w:pPr>
        <w:jc w:val="center"/>
        <w:rPr>
          <w:b/>
          <w:bCs/>
        </w:rPr>
      </w:pPr>
      <w:r w:rsidRPr="00E64E35">
        <w:rPr>
          <w:b/>
          <w:bCs/>
        </w:rPr>
        <w:t xml:space="preserve">La </w:t>
      </w:r>
      <w:r w:rsidRPr="00C61C3D">
        <w:rPr>
          <w:b/>
          <w:bCs/>
        </w:rPr>
        <w:t>f</w:t>
      </w:r>
      <w:r w:rsidRPr="00E64E35">
        <w:rPr>
          <w:b/>
          <w:bCs/>
        </w:rPr>
        <w:t>orme agissante</w:t>
      </w:r>
    </w:p>
    <w:p w14:paraId="1218E2FE" w14:textId="77777777" w:rsidR="001E27CD" w:rsidRPr="00E64E35" w:rsidRDefault="001E27CD" w:rsidP="001E27CD">
      <w:pPr>
        <w:spacing w:after="120"/>
        <w:jc w:val="center"/>
        <w:rPr>
          <w:b/>
          <w:bCs/>
        </w:rPr>
      </w:pPr>
      <w:r w:rsidRPr="00E64E35">
        <w:rPr>
          <w:b/>
          <w:bCs/>
        </w:rPr>
        <w:t xml:space="preserve">Lecture </w:t>
      </w:r>
      <w:proofErr w:type="spellStart"/>
      <w:r w:rsidRPr="00E64E35">
        <w:rPr>
          <w:b/>
          <w:bCs/>
        </w:rPr>
        <w:t>écostylistique</w:t>
      </w:r>
      <w:proofErr w:type="spellEnd"/>
      <w:r w:rsidRPr="00E64E35">
        <w:rPr>
          <w:b/>
          <w:bCs/>
        </w:rPr>
        <w:t xml:space="preserve"> de Saint-John Perse*</w:t>
      </w:r>
    </w:p>
    <w:p w14:paraId="5FC8E936" w14:textId="77777777" w:rsidR="001E27CD" w:rsidRPr="00E64E35" w:rsidRDefault="001E27CD" w:rsidP="001E27CD">
      <w:pPr>
        <w:spacing w:after="120"/>
        <w:jc w:val="center"/>
        <w:rPr>
          <w:b/>
          <w:bCs/>
        </w:rPr>
      </w:pPr>
    </w:p>
    <w:p w14:paraId="39A7ACA3" w14:textId="77777777" w:rsidR="001E27CD" w:rsidRPr="00E64E35" w:rsidRDefault="001E27CD" w:rsidP="001E27CD">
      <w:pPr>
        <w:spacing w:after="120"/>
        <w:jc w:val="right"/>
        <w:rPr>
          <w:b/>
          <w:bCs/>
        </w:rPr>
      </w:pPr>
      <w:r w:rsidRPr="00E64E35">
        <w:rPr>
          <w:b/>
          <w:bCs/>
        </w:rPr>
        <w:t>Sylvain Dournel</w:t>
      </w:r>
    </w:p>
    <w:p w14:paraId="7096B1E5" w14:textId="77777777" w:rsidR="001E27CD" w:rsidRDefault="001E27CD" w:rsidP="001E27CD">
      <w:pPr>
        <w:spacing w:after="120"/>
        <w:ind w:firstLine="567"/>
      </w:pPr>
    </w:p>
    <w:p w14:paraId="60337F5F" w14:textId="77777777" w:rsidR="001E27CD" w:rsidRPr="00E64E35" w:rsidRDefault="001E27CD" w:rsidP="001E27CD">
      <w:pPr>
        <w:spacing w:after="120"/>
        <w:ind w:firstLine="567"/>
      </w:pPr>
      <w:r w:rsidRPr="00E64E35">
        <w:t>[…]</w:t>
      </w:r>
    </w:p>
    <w:p w14:paraId="32AA4FFB" w14:textId="77777777" w:rsidR="001E27CD" w:rsidRPr="00E64E35" w:rsidRDefault="001E27CD" w:rsidP="001E27CD">
      <w:pPr>
        <w:spacing w:after="120"/>
        <w:ind w:firstLine="567"/>
        <w:jc w:val="both"/>
      </w:pPr>
      <w:r w:rsidRPr="00E64E35">
        <w:t>Considérée ici dans sa totalité constitutive, telle qu’elle se donne à lire dans l’édition Pléiade, l’œuvre poétique de Saint-John Perse</w:t>
      </w:r>
      <w:r w:rsidRPr="00E64E35">
        <w:rPr>
          <w:rFonts w:eastAsiaTheme="majorEastAsia"/>
          <w:vertAlign w:val="superscript"/>
        </w:rPr>
        <w:footnoteReference w:id="1"/>
      </w:r>
      <w:r w:rsidRPr="00E64E35">
        <w:t xml:space="preserve"> – du recueil </w:t>
      </w:r>
      <w:r w:rsidRPr="00E64E35">
        <w:rPr>
          <w:i/>
          <w:iCs/>
        </w:rPr>
        <w:t xml:space="preserve">Éloges </w:t>
      </w:r>
      <w:r w:rsidRPr="00E64E35">
        <w:t xml:space="preserve">en 1911 à </w:t>
      </w:r>
      <w:r w:rsidRPr="00E64E35">
        <w:rPr>
          <w:i/>
          <w:iCs/>
        </w:rPr>
        <w:t xml:space="preserve">Sécheresse </w:t>
      </w:r>
      <w:r w:rsidRPr="00E64E35">
        <w:t>en 1974 – s’étire sur la majeure partie du XX</w:t>
      </w:r>
      <w:r w:rsidRPr="00E64E35">
        <w:rPr>
          <w:vertAlign w:val="superscript"/>
        </w:rPr>
        <w:t>ème</w:t>
      </w:r>
      <w:r w:rsidRPr="00E64E35">
        <w:t xml:space="preserve"> siècle. </w:t>
      </w:r>
      <w:r w:rsidRPr="00E64E35">
        <w:rPr>
          <w:i/>
          <w:iCs/>
        </w:rPr>
        <w:t xml:space="preserve">Batailles dans la montagne </w:t>
      </w:r>
      <w:r w:rsidRPr="00E64E35">
        <w:t xml:space="preserve">et </w:t>
      </w:r>
      <w:r w:rsidRPr="00E64E35">
        <w:rPr>
          <w:i/>
          <w:iCs/>
        </w:rPr>
        <w:t>Un roi sans divertissement</w:t>
      </w:r>
      <w:r w:rsidRPr="00E64E35">
        <w:rPr>
          <w:rFonts w:eastAsiaTheme="majorEastAsia"/>
          <w:vertAlign w:val="superscript"/>
        </w:rPr>
        <w:footnoteReference w:id="2"/>
      </w:r>
      <w:r w:rsidRPr="00E64E35">
        <w:t xml:space="preserve">, qui composeront notre corpus </w:t>
      </w:r>
      <w:proofErr w:type="spellStart"/>
      <w:r w:rsidRPr="00E64E35">
        <w:t>gionien</w:t>
      </w:r>
      <w:proofErr w:type="spellEnd"/>
      <w:r w:rsidRPr="00E64E35">
        <w:t xml:space="preserve">, datent respectivement de 1937 et 1948, alors que </w:t>
      </w:r>
      <w:r w:rsidRPr="00E64E35">
        <w:rPr>
          <w:i/>
          <w:iCs/>
        </w:rPr>
        <w:t xml:space="preserve">Corniche Kennedy </w:t>
      </w:r>
      <w:r w:rsidRPr="00E64E35">
        <w:t xml:space="preserve">et </w:t>
      </w:r>
      <w:r w:rsidRPr="00E64E35">
        <w:rPr>
          <w:i/>
          <w:iCs/>
        </w:rPr>
        <w:t>Naissance d’un pont</w:t>
      </w:r>
      <w:r w:rsidRPr="00E64E35">
        <w:rPr>
          <w:rFonts w:eastAsiaTheme="majorEastAsia"/>
          <w:vertAlign w:val="superscript"/>
        </w:rPr>
        <w:footnoteReference w:id="3"/>
      </w:r>
      <w:r w:rsidRPr="00E64E35">
        <w:t xml:space="preserve"> de Maylis de Kerangal ont été publiés en 2008 et 2010. Un siècle d’Histoire et de littérature se dresse ainsi entre les poèmes de jeunesse du nobéliste de 1960 et le roman </w:t>
      </w:r>
      <w:proofErr w:type="spellStart"/>
      <w:r w:rsidRPr="00E64E35">
        <w:t>kerangalien</w:t>
      </w:r>
      <w:proofErr w:type="spellEnd"/>
      <w:r w:rsidRPr="00E64E35">
        <w:t xml:space="preserve"> dont l’ancrage contemporain a fait le succès, Giono se tenant, à la fin du premier XX</w:t>
      </w:r>
      <w:r w:rsidRPr="00E64E35">
        <w:rPr>
          <w:vertAlign w:val="superscript"/>
        </w:rPr>
        <w:t>ème</w:t>
      </w:r>
      <w:r w:rsidRPr="00E64E35">
        <w:t xml:space="preserve"> siècle, peu ou prou à équidistance.</w:t>
      </w:r>
    </w:p>
    <w:p w14:paraId="4ACB1C4F" w14:textId="77777777" w:rsidR="001E27CD" w:rsidRPr="00E64E35" w:rsidRDefault="001E27CD" w:rsidP="001E27CD">
      <w:pPr>
        <w:spacing w:after="120"/>
        <w:ind w:firstLine="567"/>
        <w:jc w:val="both"/>
      </w:pPr>
      <w:r w:rsidRPr="00E64E35">
        <w:t xml:space="preserve">Relief temporel donc, relief générique entre poésie et roman bien sûr, mais aussi reliefs – qu’il ne s’agira pas ici de lisser – entre trois auteurs qui, chacun, affichent une singularité certaine. Saint-John </w:t>
      </w:r>
      <w:r w:rsidRPr="00E64E35">
        <w:lastRenderedPageBreak/>
        <w:t>Perse, le premier, apparait comme un hapax dans le XX</w:t>
      </w:r>
      <w:r w:rsidRPr="00E64E35">
        <w:rPr>
          <w:vertAlign w:val="superscript"/>
        </w:rPr>
        <w:t>ème</w:t>
      </w:r>
      <w:r w:rsidRPr="00E64E35">
        <w:t xml:space="preserve"> siècle poétique, lui qui jusqu’aux poèmes « de grand âge » se proclame « de nul engendré », et surtout de « nuls maîtres que [lui-même] tenant [ses] lettres de franchise</w:t>
      </w:r>
      <w:r w:rsidRPr="00E64E35">
        <w:rPr>
          <w:rFonts w:eastAsiaTheme="majorEastAsia"/>
          <w:vertAlign w:val="superscript"/>
        </w:rPr>
        <w:footnoteReference w:id="4"/>
      </w:r>
      <w:r w:rsidRPr="00E64E35">
        <w:t xml:space="preserve"> ». Lyrisme de la rupture, épique anachronique, théâtralité prégnante, ses versets rappellent formellement Claudel mais son œuvre poétique se veut résolument insituable : immémoriale et ontologique comme celles de Pindare et de Dante, plus proche des romantiques ou du Parnasse que de la suggestion symboliste, à contrepied de « l’absence mallarméenne</w:t>
      </w:r>
      <w:r w:rsidRPr="00E64E35">
        <w:rPr>
          <w:rFonts w:eastAsiaTheme="majorEastAsia"/>
          <w:vertAlign w:val="superscript"/>
        </w:rPr>
        <w:footnoteReference w:id="5"/>
      </w:r>
      <w:r w:rsidRPr="00E64E35">
        <w:t xml:space="preserve"> » dont elle dénonce l’abstraction mais épousant volontiers l’éthique d’un Rimbaud.</w:t>
      </w:r>
    </w:p>
    <w:p w14:paraId="6D09F184" w14:textId="77777777" w:rsidR="001E27CD" w:rsidRPr="00E64E35" w:rsidRDefault="001E27CD" w:rsidP="001E27CD">
      <w:pPr>
        <w:spacing w:after="120"/>
        <w:ind w:firstLine="567"/>
        <w:jc w:val="both"/>
      </w:pPr>
      <w:r w:rsidRPr="00E64E35">
        <w:t>[…]</w:t>
      </w:r>
    </w:p>
    <w:p w14:paraId="31834798" w14:textId="77777777" w:rsidR="001E27CD" w:rsidRPr="00E64E35" w:rsidRDefault="001E27CD" w:rsidP="001E27CD">
      <w:pPr>
        <w:spacing w:after="120"/>
        <w:ind w:firstLine="567"/>
        <w:jc w:val="both"/>
      </w:pPr>
      <w:r w:rsidRPr="00E64E35">
        <w:t>Unn double mouvement, d’ordre générique et structurel, tend à réduire l’écart entre les éléments constitutifs du corpus. D’une part, même si ce n’est pas une spécificité persienne</w:t>
      </w:r>
      <w:r w:rsidRPr="00E64E35">
        <w:rPr>
          <w:rFonts w:eastAsiaTheme="majorEastAsia"/>
          <w:vertAlign w:val="superscript"/>
        </w:rPr>
        <w:footnoteReference w:id="6"/>
      </w:r>
      <w:r w:rsidRPr="00E64E35">
        <w:t>, la poésie de Saint-John Perse est fondamentalement narrative, et se conçoit ouvertement comme telle : elle est « la relation d’un voyage aux mondes imaginaires, [et] en demeure pour nous la narration émerveillée</w:t>
      </w:r>
      <w:r w:rsidRPr="00E64E35">
        <w:rPr>
          <w:rFonts w:eastAsiaTheme="majorEastAsia"/>
          <w:vertAlign w:val="superscript"/>
        </w:rPr>
        <w:footnoteReference w:id="7"/>
      </w:r>
      <w:r w:rsidRPr="00E64E35">
        <w:t xml:space="preserve"> ». Plus qu’à un descripteur c’est bien </w:t>
      </w:r>
      <w:proofErr w:type="spellStart"/>
      <w:r w:rsidRPr="00E64E35">
        <w:t>àun</w:t>
      </w:r>
      <w:proofErr w:type="spellEnd"/>
      <w:r w:rsidRPr="00E64E35">
        <w:t xml:space="preserve"> Narrateur, une des figurations récurrentes du poète, que le lecteur doit cette « relation », à prendre au sens étymologique de récit. Généralisée à l’ensemble de l’œuvre poétique, cette narrativité se donne à lire sur une double échelle. Celle du poème, pris dans son unité signifiante, et celle des œuvres poétiques, envisagées comme une totalité macrostructurale : un </w:t>
      </w:r>
      <w:r w:rsidRPr="00E64E35">
        <w:rPr>
          <w:i/>
          <w:iCs/>
        </w:rPr>
        <w:t xml:space="preserve">mythos </w:t>
      </w:r>
      <w:r w:rsidRPr="00E64E35">
        <w:t xml:space="preserve">au sens aristotélicien, une action pourvue d’un début, d’un milieu et d’une fin. Se superpose à ce récit premier, universel, émaillé </w:t>
      </w:r>
      <w:r w:rsidRPr="00E64E35">
        <w:lastRenderedPageBreak/>
        <w:t>de départs et de quêtes, de doutes et de célébrations, celui de l’ itinéraire personnel du poète, de l’intimité d’</w:t>
      </w:r>
      <w:r w:rsidRPr="00E64E35">
        <w:rPr>
          <w:i/>
          <w:iCs/>
        </w:rPr>
        <w:t xml:space="preserve">Éloges </w:t>
      </w:r>
      <w:r w:rsidRPr="00E64E35">
        <w:t xml:space="preserve">à </w:t>
      </w:r>
      <w:r w:rsidRPr="00E64E35">
        <w:rPr>
          <w:i/>
          <w:iCs/>
        </w:rPr>
        <w:t xml:space="preserve">Chronique </w:t>
      </w:r>
      <w:r w:rsidRPr="00E64E35">
        <w:t>et ses accents d’adieu.</w:t>
      </w:r>
    </w:p>
    <w:p w14:paraId="145E68C4" w14:textId="77777777" w:rsidR="001E27CD" w:rsidRPr="00E64E35" w:rsidRDefault="001E27CD" w:rsidP="001E27CD">
      <w:pPr>
        <w:spacing w:after="120"/>
        <w:ind w:firstLine="567"/>
        <w:jc w:val="both"/>
      </w:pPr>
      <w:r w:rsidRPr="00E64E35">
        <w:t>[…]</w:t>
      </w:r>
    </w:p>
    <w:p w14:paraId="04E5D2D1" w14:textId="77777777" w:rsidR="001E27CD" w:rsidRPr="00E64E35" w:rsidRDefault="001E27CD" w:rsidP="001E27CD">
      <w:pPr>
        <w:spacing w:after="120"/>
        <w:ind w:firstLine="567"/>
        <w:jc w:val="both"/>
        <w:rPr>
          <w:b/>
          <w:bCs/>
        </w:rPr>
      </w:pPr>
      <w:r w:rsidRPr="00E64E35">
        <w:rPr>
          <w:b/>
          <w:bCs/>
        </w:rPr>
        <w:t>Nature en actes</w:t>
      </w:r>
    </w:p>
    <w:p w14:paraId="7FD54475" w14:textId="77777777" w:rsidR="001E27CD" w:rsidRPr="00E64E35" w:rsidRDefault="001E27CD" w:rsidP="001E27CD">
      <w:pPr>
        <w:spacing w:after="120"/>
        <w:ind w:firstLine="567"/>
        <w:jc w:val="both"/>
      </w:pPr>
      <w:r w:rsidRPr="00E64E35">
        <w:t>Mais c’est bien la nature omniprésente, omnipotente surtout, qui fonde l’unité du corpus; une nature envisagée au plus près, au spectacle et dans l’intime de sa matière. Saint-John Perse comme Maylis de Kerangal partagent ici la même conviction que Jean Giono : « Et je peux affirmer contrairement à ce qu’on a dit, que la matière ne désespère pas. Elle ne promet rien, elle affirme</w:t>
      </w:r>
      <w:r w:rsidRPr="00E64E35">
        <w:rPr>
          <w:rFonts w:eastAsiaTheme="majorEastAsia"/>
          <w:vertAlign w:val="superscript"/>
        </w:rPr>
        <w:footnoteReference w:id="8"/>
      </w:r>
      <w:r w:rsidRPr="00E64E35">
        <w:t xml:space="preserve"> ». C’est cette même évidence autoritaire qui semble, chez le poète comme chez les deux romanciers, imposer les thèmes, les motifs et jusqu’à la conduite des œuvres. Aux yeux de Saint-John Perse, la chose est entendue dès sa définition de la poésie : elle est ontologie, « [r]</w:t>
      </w:r>
      <w:proofErr w:type="spellStart"/>
      <w:r w:rsidRPr="00E64E35">
        <w:t>espirer</w:t>
      </w:r>
      <w:proofErr w:type="spellEnd"/>
      <w:r w:rsidRPr="00E64E35">
        <w:t xml:space="preserve"> avec le monde demeure sa fonction propre et médiatrice », afin d’assurer la « réintégration de l’unité perdue</w:t>
      </w:r>
      <w:r w:rsidRPr="00E64E35">
        <w:rPr>
          <w:rFonts w:eastAsiaTheme="majorEastAsia"/>
          <w:vertAlign w:val="superscript"/>
        </w:rPr>
        <w:footnoteReference w:id="9"/>
      </w:r>
      <w:r w:rsidRPr="00E64E35">
        <w:t xml:space="preserve"> ». En toute logique, l’œuvre poétique de cet autre « homme aux semelles de vent » qu’incarne le poète, tout entière tendue vers cet accord, accorde la préséance à une nature qui graduellement se veut bien plus qu’un environnement. Elle l’est à l’initiale de l’œuvre : la paysage naturel de l’enfance insulaire, avec sa faune et sa flore aussi exotiques qu’exubérants, recrée le lieu édénique de la perfection et de l’origine. À partir d’</w:t>
      </w:r>
      <w:r w:rsidRPr="00E64E35">
        <w:rPr>
          <w:i/>
          <w:iCs/>
        </w:rPr>
        <w:t>Anabase</w:t>
      </w:r>
      <w:r w:rsidRPr="00E64E35">
        <w:t>, le poème ne s’écrit plus seulement à la faveur de ce cadre naturel, aussi majestueux soit-il, mais tend à en prendre le pouls, à y puiser son énergie et jusqu’à sa signature stylistique, de la « syntaxe de l’éclair</w:t>
      </w:r>
      <w:r w:rsidRPr="00E64E35">
        <w:rPr>
          <w:rFonts w:eastAsiaTheme="majorEastAsia"/>
          <w:vertAlign w:val="superscript"/>
        </w:rPr>
        <w:footnoteReference w:id="10"/>
      </w:r>
      <w:r w:rsidRPr="00E64E35">
        <w:t xml:space="preserve"> » à ce « grand style […] qui nous </w:t>
      </w:r>
      <w:proofErr w:type="spellStart"/>
      <w:r w:rsidRPr="00E64E35">
        <w:t>vien</w:t>
      </w:r>
      <w:proofErr w:type="spellEnd"/>
      <w:r w:rsidRPr="00E64E35">
        <w:t>[t] de mer</w:t>
      </w:r>
      <w:r w:rsidRPr="00E64E35">
        <w:rPr>
          <w:rFonts w:eastAsiaTheme="majorEastAsia"/>
          <w:vertAlign w:val="superscript"/>
        </w:rPr>
        <w:footnoteReference w:id="11"/>
      </w:r>
      <w:r w:rsidRPr="00E64E35">
        <w:t xml:space="preserve"> ». Les versets eux-mêmes se font anguleux dans les Rocheuses de </w:t>
      </w:r>
      <w:r w:rsidRPr="00E64E35">
        <w:rPr>
          <w:i/>
          <w:iCs/>
        </w:rPr>
        <w:t>Vents</w:t>
      </w:r>
      <w:r w:rsidRPr="00E64E35">
        <w:t xml:space="preserve">, ossifiés sur la terre de </w:t>
      </w:r>
      <w:r w:rsidRPr="00E64E35">
        <w:rPr>
          <w:i/>
          <w:iCs/>
        </w:rPr>
        <w:lastRenderedPageBreak/>
        <w:t>Sécheresse</w:t>
      </w:r>
      <w:r w:rsidRPr="00E64E35">
        <w:t xml:space="preserve">, ou « hautes narrations du large » pour </w:t>
      </w:r>
      <w:r w:rsidRPr="00E64E35">
        <w:rPr>
          <w:i/>
          <w:iCs/>
        </w:rPr>
        <w:t xml:space="preserve">Amers. </w:t>
      </w:r>
      <w:r w:rsidRPr="00E64E35">
        <w:t>Autre « chant du monde », pour parler avec Giono, né d’une perception toute phénoménologique de ce monde, aussi marin que désertique ou montagnard, aussi habité que sacré. Le poète en est convaincu et c’est là qu’il se tient : « au bord des grands espaces libres se propage le divin</w:t>
      </w:r>
      <w:r w:rsidRPr="00E64E35">
        <w:rPr>
          <w:rFonts w:eastAsiaTheme="majorEastAsia"/>
          <w:vertAlign w:val="superscript"/>
        </w:rPr>
        <w:footnoteReference w:id="12"/>
      </w:r>
      <w:r w:rsidRPr="00E64E35">
        <w:t xml:space="preserve"> ».</w:t>
      </w:r>
    </w:p>
    <w:p w14:paraId="33B046F9" w14:textId="77777777" w:rsidR="001E27CD" w:rsidRPr="00E64E35" w:rsidRDefault="001E27CD" w:rsidP="001E27CD">
      <w:pPr>
        <w:spacing w:after="120"/>
        <w:ind w:firstLine="567"/>
        <w:jc w:val="both"/>
      </w:pPr>
      <w:r w:rsidRPr="00E64E35">
        <w:t>[…]</w:t>
      </w:r>
    </w:p>
    <w:p w14:paraId="0C9F8BB6" w14:textId="77777777" w:rsidR="001E27CD" w:rsidRPr="00E64E35" w:rsidRDefault="001E27CD" w:rsidP="001E27CD">
      <w:pPr>
        <w:spacing w:after="120"/>
        <w:ind w:firstLine="567"/>
        <w:jc w:val="both"/>
        <w:rPr>
          <w:b/>
          <w:bCs/>
        </w:rPr>
      </w:pPr>
      <w:r w:rsidRPr="00E64E35">
        <w:rPr>
          <w:b/>
          <w:bCs/>
        </w:rPr>
        <w:t>La plume, pas l’épée</w:t>
      </w:r>
    </w:p>
    <w:p w14:paraId="5FBF8302" w14:textId="77777777" w:rsidR="001E27CD" w:rsidRPr="00E64E35" w:rsidRDefault="001E27CD" w:rsidP="001E27CD">
      <w:pPr>
        <w:spacing w:after="120"/>
        <w:ind w:firstLine="567"/>
        <w:jc w:val="both"/>
      </w:pPr>
      <w:r w:rsidRPr="00E64E35">
        <w:t>Immortalisée dans sa superbe ou mêlée à l’effervescence humaine, cette nature si activement présente dans notre corpus ne fait pour autant pas de ces auteurs, loin s’en faut, des hérauts d’une écologie qui, au moins pour deux d’entre eux, peut sembler anachronique. Si Saint-John Perse est résolument hostile à l’« automatisme industriel », nuisible aux « valeurs de l’esprit</w:t>
      </w:r>
      <w:r w:rsidRPr="00E64E35">
        <w:rPr>
          <w:rFonts w:eastAsiaTheme="majorEastAsia"/>
          <w:vertAlign w:val="superscript"/>
        </w:rPr>
        <w:footnoteReference w:id="13"/>
      </w:r>
      <w:r w:rsidRPr="00E64E35">
        <w:t xml:space="preserve"> », ce n’est qu’au détour de sa correspondance et parce que l’industrie promeut la possession, l’avoir, et non l’être, ontologique. Ce qui comble le poète c’est la jouissance, le mouvement et l’action dans le monde présent, dans la louange de l’être-là et de l’en-allée perpétuelle. Dès </w:t>
      </w:r>
      <w:r w:rsidRPr="00E64E35">
        <w:rPr>
          <w:i/>
          <w:iCs/>
        </w:rPr>
        <w:t xml:space="preserve">Éloges </w:t>
      </w:r>
      <w:r w:rsidRPr="00E64E35">
        <w:t>il choisit avec ostentation « le train du monde », et n’a « que du bien à en dire</w:t>
      </w:r>
      <w:r w:rsidRPr="00E64E35">
        <w:rPr>
          <w:rFonts w:eastAsiaTheme="majorEastAsia"/>
          <w:vertAlign w:val="superscript"/>
        </w:rPr>
        <w:footnoteReference w:id="14"/>
      </w:r>
      <w:r w:rsidRPr="00E64E35">
        <w:t xml:space="preserve"> », dans la fiction édénique d’un quotidien qui naturellement participe du tout du monde et jusqu’à </w:t>
      </w:r>
      <w:r w:rsidRPr="00E64E35">
        <w:rPr>
          <w:i/>
          <w:iCs/>
        </w:rPr>
        <w:t>Amers</w:t>
      </w:r>
      <w:r w:rsidRPr="00E64E35">
        <w:t>, où un couple d’amants navigue, hors du temps, « face à la nuit, avec un astre sur l’épaule</w:t>
      </w:r>
      <w:r w:rsidRPr="00E64E35">
        <w:rPr>
          <w:rFonts w:eastAsiaTheme="majorEastAsia"/>
          <w:vertAlign w:val="superscript"/>
        </w:rPr>
        <w:footnoteReference w:id="15"/>
      </w:r>
      <w:r w:rsidRPr="00E64E35">
        <w:t xml:space="preserve"> ». Loin de la nausée sartrienne ou de l’absurde camusien, puisqu’ « il n’est rien de vivant qui de néant procède, ni de néant s’éprenne », la poésie selon Saint-John Perse ne peut être </w:t>
      </w:r>
      <w:r w:rsidRPr="00E64E35">
        <w:lastRenderedPageBreak/>
        <w:t>engagée</w:t>
      </w:r>
      <w:r w:rsidRPr="00E64E35">
        <w:rPr>
          <w:rFonts w:eastAsiaTheme="majorEastAsia"/>
          <w:vertAlign w:val="superscript"/>
        </w:rPr>
        <w:footnoteReference w:id="16"/>
      </w:r>
      <w:r w:rsidRPr="00E64E35">
        <w:t xml:space="preserve"> : « sa leçon est d’optimisme</w:t>
      </w:r>
      <w:r w:rsidRPr="00E64E35">
        <w:rPr>
          <w:rFonts w:eastAsiaTheme="majorEastAsia"/>
          <w:vertAlign w:val="superscript"/>
        </w:rPr>
        <w:footnoteReference w:id="17"/>
      </w:r>
      <w:r w:rsidRPr="00E64E35">
        <w:t xml:space="preserve"> ». Non pas un optimisme candide ou aveugle, mais un optimisme humaniste, conscient de n’être qu’une part infime de ce monde, énergiquement tourné vers l’expérience humaine, et avide d’une forme de sagesse plus favorable à l’avenir que les fanatismes ou les utopies politiques.</w:t>
      </w:r>
    </w:p>
    <w:p w14:paraId="5111BEEA" w14:textId="77777777" w:rsidR="001E27CD" w:rsidRPr="00E64E35" w:rsidRDefault="001E27CD" w:rsidP="001E27CD">
      <w:pPr>
        <w:spacing w:after="120"/>
        <w:ind w:firstLine="567"/>
        <w:jc w:val="both"/>
      </w:pPr>
      <w:r w:rsidRPr="00E64E35">
        <w:t>[…]</w:t>
      </w:r>
    </w:p>
    <w:p w14:paraId="30D5F305" w14:textId="77777777" w:rsidR="001E27CD" w:rsidRPr="00E64E35" w:rsidRDefault="001E27CD" w:rsidP="001E27CD">
      <w:pPr>
        <w:spacing w:after="120"/>
        <w:ind w:firstLine="567"/>
        <w:jc w:val="both"/>
      </w:pPr>
      <w:r w:rsidRPr="00E64E35">
        <w:t>S’il fallait, à l’aune de la typologie établie par l’</w:t>
      </w:r>
      <w:proofErr w:type="spellStart"/>
      <w:r w:rsidRPr="00E64E35">
        <w:t>écopoéticien</w:t>
      </w:r>
      <w:proofErr w:type="spellEnd"/>
      <w:r w:rsidRPr="00E64E35">
        <w:t>, catégoriser les œuvres constitutives de notre corpus, de toute évidence ce n’est donc pas de la « littérature marron » qu’elles relèveraient : peu de terrains vagues, de zones de friche, contaminées ou polluées, chez Kerangal, moins encore chez Giono et Saint-John Perse. Tous trois, à des échelles diverses, se rangeraient bien davantage sous la bannière d’une « littérature verte » qui revisite l’univers rural, réinvestit la nature sauvage et renouvelle les manières d’être au monde.</w:t>
      </w:r>
    </w:p>
    <w:p w14:paraId="1AD8E2C2" w14:textId="77777777" w:rsidR="001E27CD" w:rsidRPr="00E64E35" w:rsidRDefault="001E27CD" w:rsidP="001E27CD">
      <w:pPr>
        <w:spacing w:after="120"/>
        <w:ind w:firstLine="567"/>
        <w:jc w:val="both"/>
        <w:rPr>
          <w:b/>
          <w:bCs/>
        </w:rPr>
      </w:pPr>
      <w:r w:rsidRPr="00E64E35">
        <w:rPr>
          <w:b/>
          <w:bCs/>
        </w:rPr>
        <w:t>La forme agissante</w:t>
      </w:r>
    </w:p>
    <w:p w14:paraId="0D7FDB16" w14:textId="77777777" w:rsidR="001E27CD" w:rsidRPr="00E64E35" w:rsidRDefault="001E27CD" w:rsidP="001E27CD">
      <w:pPr>
        <w:spacing w:after="120"/>
        <w:ind w:firstLine="567"/>
        <w:jc w:val="both"/>
      </w:pPr>
      <w:r w:rsidRPr="00E64E35">
        <w:t xml:space="preserve">Dans la perspective qui est la nôtre, un corpus d’écrivains engagés aurait sans doute limité l’étude à celle des stratégies argumentatives mises en œuvre, elles-mêmes échos fictionnalisés, littérarisés – sur un mode constatif ou combattif – des mises en garde dont notre actualité se fait le relais. Sur un même schème une littérature plus sombre – « marron » pour reprendre l’épithète de </w:t>
      </w:r>
      <w:proofErr w:type="spellStart"/>
      <w:r w:rsidRPr="00E64E35">
        <w:t>Schoentjes</w:t>
      </w:r>
      <w:proofErr w:type="spellEnd"/>
      <w:r w:rsidRPr="00E64E35">
        <w:t xml:space="preserve"> – circonscrirait l’analyse à celle d’une antithèse ou d’un oxymore : un avant-après de l’environnement naturel, au positionnement énonciatif et discursif certes relativement neuf, les accents dystopiques répondant aux utopies longtemps cultivées. Les poèmes de Saint-John Perse – souvent absent des index de l’</w:t>
      </w:r>
      <w:proofErr w:type="spellStart"/>
      <w:r w:rsidRPr="00E64E35">
        <w:t>écopoétique</w:t>
      </w:r>
      <w:proofErr w:type="spellEnd"/>
      <w:r w:rsidRPr="00E64E35">
        <w:t xml:space="preserve"> –, les romans de Giono et Kerangal – plus régulièrement mentionnés –, offrent quant à eux une approche prometteuse car </w:t>
      </w:r>
      <w:r w:rsidRPr="00E64E35">
        <w:lastRenderedPageBreak/>
        <w:t xml:space="preserve">judicieusement opposée. À aucun moment ces œuvres ne démontrent; elles montrent. Dans ces poétiques de la monstration, diversement investies, réside l’efficace de textes qui ne sont ni des plaidoyers, ni des réquisitoires, ni des manifestes, mais des formes agissantes ou mieux, </w:t>
      </w:r>
      <w:proofErr w:type="spellStart"/>
      <w:r w:rsidRPr="00E64E35">
        <w:t>agentives</w:t>
      </w:r>
      <w:proofErr w:type="spellEnd"/>
      <w:r w:rsidRPr="00E64E35">
        <w:t>. Partant de l’</w:t>
      </w:r>
      <w:r w:rsidRPr="00E64E35">
        <w:rPr>
          <w:i/>
          <w:iCs/>
        </w:rPr>
        <w:t xml:space="preserve">imago </w:t>
      </w:r>
      <w:proofErr w:type="spellStart"/>
      <w:r w:rsidRPr="00E64E35">
        <w:rPr>
          <w:i/>
          <w:iCs/>
        </w:rPr>
        <w:t>agens</w:t>
      </w:r>
      <w:proofErr w:type="spellEnd"/>
      <w:r w:rsidRPr="00E64E35">
        <w:rPr>
          <w:i/>
          <w:iCs/>
        </w:rPr>
        <w:t xml:space="preserve"> </w:t>
      </w:r>
      <w:r w:rsidRPr="00E64E35">
        <w:t>de la Renaissance, Jean-Claude Cavallin a parmi les premiers importé le mot dans le champ de l’</w:t>
      </w:r>
      <w:proofErr w:type="spellStart"/>
      <w:r w:rsidRPr="00E64E35">
        <w:t>écopoétique</w:t>
      </w:r>
      <w:proofErr w:type="spellEnd"/>
      <w:r w:rsidRPr="00E64E35">
        <w:t xml:space="preserve"> : </w:t>
      </w:r>
    </w:p>
    <w:p w14:paraId="7D048DB7" w14:textId="77777777" w:rsidR="001E27CD" w:rsidRPr="00E64E35" w:rsidRDefault="001E27CD" w:rsidP="001E27CD">
      <w:pPr>
        <w:spacing w:after="120"/>
        <w:ind w:firstLine="567"/>
        <w:jc w:val="both"/>
      </w:pPr>
      <w:r w:rsidRPr="00E64E35">
        <w:t xml:space="preserve">On pourrait à la forme pure, recluse dans son hermétisme, opposer la </w:t>
      </w:r>
      <w:r w:rsidRPr="00E64E35">
        <w:rPr>
          <w:i/>
          <w:iCs/>
        </w:rPr>
        <w:t xml:space="preserve">forma </w:t>
      </w:r>
      <w:proofErr w:type="spellStart"/>
      <w:r w:rsidRPr="00E64E35">
        <w:rPr>
          <w:i/>
          <w:iCs/>
        </w:rPr>
        <w:t>agens</w:t>
      </w:r>
      <w:proofErr w:type="spellEnd"/>
      <w:r w:rsidRPr="00E64E35">
        <w:rPr>
          <w:i/>
          <w:iCs/>
        </w:rPr>
        <w:t xml:space="preserve"> </w:t>
      </w:r>
      <w:r w:rsidRPr="00E64E35">
        <w:t xml:space="preserve">– agissante ou </w:t>
      </w:r>
      <w:proofErr w:type="spellStart"/>
      <w:r w:rsidRPr="00E64E35">
        <w:t>agentive</w:t>
      </w:r>
      <w:proofErr w:type="spellEnd"/>
      <w:r w:rsidRPr="00E64E35">
        <w:t xml:space="preserve"> –, c’est-à-dire la forme en tant qu’effective, dans le sens qu’elle est immédiatement son propre faire ou effet (</w:t>
      </w:r>
      <w:proofErr w:type="spellStart"/>
      <w:r w:rsidRPr="00E64E35">
        <w:rPr>
          <w:i/>
          <w:iCs/>
        </w:rPr>
        <w:t>effectus</w:t>
      </w:r>
      <w:proofErr w:type="spellEnd"/>
      <w:r w:rsidRPr="00E64E35">
        <w:t>). Dans cette nouvelle perspective, les œuvres engagées ne sont pas les œuvres qui disent de faire, mais les œuvres qui font ce qu’elles disent. Leur régime n’est pas celui de la prescription, mais celui de la description. […] C’est donc en tant qu’elle est […] une ‘‘version de monde’’ cohérente qu’une œuvre agit sur son lecteur ou sur sa lectrice. Elle ne l’exhorte pas à agir, elle se contente d’agir sur lui</w:t>
      </w:r>
      <w:r w:rsidRPr="00E64E35">
        <w:rPr>
          <w:rFonts w:eastAsiaTheme="majorEastAsia"/>
          <w:vertAlign w:val="superscript"/>
        </w:rPr>
        <w:footnoteReference w:id="18"/>
      </w:r>
      <w:r w:rsidRPr="00E64E35">
        <w:t>.</w:t>
      </w:r>
    </w:p>
    <w:p w14:paraId="32BDA48F" w14:textId="77777777" w:rsidR="001E27CD" w:rsidRPr="00E64E35" w:rsidRDefault="001E27CD" w:rsidP="001E27CD">
      <w:pPr>
        <w:spacing w:after="120"/>
        <w:ind w:firstLine="567"/>
        <w:jc w:val="both"/>
      </w:pPr>
      <w:r w:rsidRPr="00E64E35">
        <w:t>[…]</w:t>
      </w:r>
    </w:p>
    <w:p w14:paraId="305EDE30" w14:textId="77777777" w:rsidR="001E27CD" w:rsidRPr="00E64E35" w:rsidRDefault="001E27CD" w:rsidP="001E27CD">
      <w:pPr>
        <w:spacing w:after="120"/>
        <w:ind w:firstLine="567"/>
        <w:jc w:val="both"/>
      </w:pPr>
      <w:r w:rsidRPr="00E64E35">
        <w:t xml:space="preserve">« Reparcourir » le monde naturel, le redécouvrir pour le « reconnaitre ». Et le préfixe itératif en appelle d’autres. Il s’agit bien de se défamiliariser, de se déprendre – d’un certain nombre de postures notamment –, dans un processus de </w:t>
      </w:r>
      <w:proofErr w:type="spellStart"/>
      <w:r w:rsidRPr="00E64E35">
        <w:t>co</w:t>
      </w:r>
      <w:proofErr w:type="spellEnd"/>
      <w:r w:rsidRPr="00E64E35">
        <w:t>-naissance au sens claudélien du terme : une seconde naissance, au monde et à soi-même. Cercle vertueux et mouvement vital qui procèdent d’un regard autre, à la fois intime et distancié, sur ce « trop connu » qui nous environne; démarche éminemment poétique, puisque « [l]’inertie seule est menaçante. Poète est celui-là qui rompt pour nous l’accoutumance</w:t>
      </w:r>
      <w:r w:rsidRPr="00E64E35">
        <w:rPr>
          <w:rFonts w:eastAsiaTheme="majorEastAsia"/>
          <w:vertAlign w:val="superscript"/>
        </w:rPr>
        <w:footnoteReference w:id="19"/>
      </w:r>
      <w:r w:rsidRPr="00E64E35">
        <w:t xml:space="preserve"> ». Plutôt que de dramatiser un échec – non avéré avant les années 70 –, il s’agit de créer </w:t>
      </w:r>
      <w:r w:rsidRPr="00E64E35">
        <w:lastRenderedPageBreak/>
        <w:t>grâce aux dispositifs stylistiques un écho dynamique, une incitation à entrevoir un monde dépris des logiques dominantes, afin de combler la césure moderne entre l’homme et son environnement. Ces écritures, qui nécessairement disent une part de nous – en témoigne leur succès auprès de lectorats urbains –, rompent l’isolement et opèrent, de manière active, ce rapprochement. C’est en ce sens que peut être lue la « parole de vivant</w:t>
      </w:r>
      <w:r w:rsidRPr="00E64E35">
        <w:rPr>
          <w:rFonts w:eastAsiaTheme="majorEastAsia"/>
          <w:vertAlign w:val="superscript"/>
        </w:rPr>
        <w:footnoteReference w:id="20"/>
      </w:r>
      <w:r w:rsidRPr="00E64E35">
        <w:t xml:space="preserve"> » de Saint-John Perse, née de « la simple chose d’être là, dans l’écoulement du jour</w:t>
      </w:r>
      <w:r w:rsidRPr="00E64E35">
        <w:rPr>
          <w:rFonts w:eastAsiaTheme="majorEastAsia"/>
          <w:vertAlign w:val="superscript"/>
        </w:rPr>
        <w:footnoteReference w:id="21"/>
      </w:r>
      <w:r w:rsidRPr="00E64E35">
        <w:t>… »; en ce sens que peut se partager l’émerveillement du narrateur-spectateur devant le hêtre, qui initialement devait être le héros éponyme d’</w:t>
      </w:r>
      <w:r w:rsidRPr="00E64E35">
        <w:rPr>
          <w:i/>
          <w:iCs/>
        </w:rPr>
        <w:t>Un roi sans divertissement</w:t>
      </w:r>
      <w:r w:rsidRPr="00E64E35">
        <w:t>; en ce sens enfin que peut s’entendre « l’euphorie communicative » de certaines pages de Kerangal même si, en effet, ses romans « semblent avoir définitivement fermé la double page de l’idéologie et de la mélancolie</w:t>
      </w:r>
      <w:r w:rsidRPr="00E64E35">
        <w:rPr>
          <w:rFonts w:eastAsiaTheme="majorEastAsia"/>
          <w:vertAlign w:val="superscript"/>
        </w:rPr>
        <w:footnoteReference w:id="22"/>
      </w:r>
      <w:r w:rsidRPr="00E64E35">
        <w:t xml:space="preserve"> ».</w:t>
      </w:r>
    </w:p>
    <w:p w14:paraId="427EA1EB" w14:textId="77777777" w:rsidR="001E27CD" w:rsidRPr="00E64E35" w:rsidRDefault="001E27CD" w:rsidP="001E27CD">
      <w:pPr>
        <w:spacing w:after="120"/>
        <w:ind w:firstLine="567"/>
        <w:jc w:val="both"/>
      </w:pPr>
      <w:r w:rsidRPr="00E64E35">
        <w:t>[…]</w:t>
      </w:r>
    </w:p>
    <w:p w14:paraId="0F167CFB" w14:textId="77777777" w:rsidR="001E27CD" w:rsidRPr="00E64E35" w:rsidRDefault="001E27CD" w:rsidP="001E27CD">
      <w:pPr>
        <w:spacing w:after="120"/>
        <w:ind w:firstLine="567"/>
        <w:jc w:val="both"/>
      </w:pPr>
      <w:r w:rsidRPr="00E64E35">
        <w:t xml:space="preserve">Les pages à suivre tentent de radiographier les propositions de monde formulées par les œuvres ici réunies, en suivant pas à pas ce qui fait d’elles des formes </w:t>
      </w:r>
      <w:proofErr w:type="spellStart"/>
      <w:r w:rsidRPr="00E64E35">
        <w:t>agentives</w:t>
      </w:r>
      <w:proofErr w:type="spellEnd"/>
      <w:r w:rsidRPr="00E64E35">
        <w:t xml:space="preserve"> : de la création d’un lien connivent avec le lecteur à celle des conditions d’émergence d’un monde, de son unification en cosmos à sa mise en mouvement.</w:t>
      </w:r>
    </w:p>
    <w:p w14:paraId="6CC55D08" w14:textId="77777777" w:rsidR="001E27CD" w:rsidRPr="00E64E35" w:rsidRDefault="001E27CD" w:rsidP="001E27CD">
      <w:pPr>
        <w:spacing w:after="120"/>
        <w:jc w:val="center"/>
      </w:pPr>
      <w:r w:rsidRPr="00E64E35">
        <w:t>------</w:t>
      </w:r>
    </w:p>
    <w:p w14:paraId="5E1F69B7" w14:textId="1D67A1F6" w:rsidR="00B77111" w:rsidRPr="001E27CD" w:rsidRDefault="00B77111" w:rsidP="001E27CD"/>
    <w:sectPr w:rsidR="00B77111" w:rsidRPr="001E27CD" w:rsidSect="00324E9A">
      <w:footerReference w:type="default" r:id="rId8"/>
      <w:pgSz w:w="8392" w:h="11907"/>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5E79" w14:textId="77777777" w:rsidR="00323C30" w:rsidRDefault="00323C30" w:rsidP="00634399">
      <w:r>
        <w:separator/>
      </w:r>
    </w:p>
  </w:endnote>
  <w:endnote w:type="continuationSeparator" w:id="0">
    <w:p w14:paraId="32523567" w14:textId="77777777" w:rsidR="00323C30" w:rsidRDefault="00323C30" w:rsidP="0063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978244"/>
      <w:docPartObj>
        <w:docPartGallery w:val="Page Numbers (Bottom of Page)"/>
        <w:docPartUnique/>
      </w:docPartObj>
    </w:sdtPr>
    <w:sdtContent>
      <w:p w14:paraId="57053833" w14:textId="67ABA83A" w:rsidR="00B77111" w:rsidRDefault="00B77111">
        <w:pPr>
          <w:pStyle w:val="Pieddepage"/>
          <w:jc w:val="center"/>
        </w:pPr>
        <w:r>
          <w:fldChar w:fldCharType="begin"/>
        </w:r>
        <w:r>
          <w:instrText>PAGE   \* MERGEFORMAT</w:instrText>
        </w:r>
        <w:r>
          <w:fldChar w:fldCharType="separate"/>
        </w:r>
        <w:r>
          <w:t>2</w:t>
        </w:r>
        <w:r>
          <w:fldChar w:fldCharType="end"/>
        </w:r>
      </w:p>
    </w:sdtContent>
  </w:sdt>
  <w:p w14:paraId="15807254" w14:textId="77777777" w:rsidR="00B77111" w:rsidRDefault="00B771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8B04" w14:textId="77777777" w:rsidR="00323C30" w:rsidRDefault="00323C30" w:rsidP="00634399">
      <w:r>
        <w:separator/>
      </w:r>
    </w:p>
  </w:footnote>
  <w:footnote w:type="continuationSeparator" w:id="0">
    <w:p w14:paraId="22376F17" w14:textId="77777777" w:rsidR="00323C30" w:rsidRDefault="00323C30" w:rsidP="00634399">
      <w:r>
        <w:continuationSeparator/>
      </w:r>
    </w:p>
  </w:footnote>
  <w:footnote w:id="1">
    <w:p w14:paraId="6A8EF06B" w14:textId="37A3411B" w:rsidR="001E27CD" w:rsidRDefault="001E27CD" w:rsidP="001E27CD">
      <w:pPr>
        <w:jc w:val="both"/>
        <w:rPr>
          <w:sz w:val="20"/>
          <w:szCs w:val="20"/>
        </w:rPr>
      </w:pPr>
      <w:r>
        <w:rPr>
          <w:sz w:val="20"/>
          <w:szCs w:val="20"/>
        </w:rPr>
        <w:t>* Extraits de l’introduction au mémoire HDR soutenu le 1</w:t>
      </w:r>
      <w:r>
        <w:rPr>
          <w:sz w:val="20"/>
          <w:szCs w:val="20"/>
          <w:vertAlign w:val="superscript"/>
        </w:rPr>
        <w:t>er</w:t>
      </w:r>
      <w:r>
        <w:rPr>
          <w:sz w:val="20"/>
          <w:szCs w:val="20"/>
        </w:rPr>
        <w:t xml:space="preserve"> avril 2026 par S. </w:t>
      </w:r>
      <w:proofErr w:type="spellStart"/>
      <w:r>
        <w:rPr>
          <w:sz w:val="20"/>
          <w:szCs w:val="20"/>
        </w:rPr>
        <w:t>Dournel</w:t>
      </w:r>
      <w:proofErr w:type="spellEnd"/>
      <w:r>
        <w:rPr>
          <w:sz w:val="20"/>
          <w:szCs w:val="20"/>
        </w:rPr>
        <w:t xml:space="preserve"> en Sorbonne, </w:t>
      </w:r>
      <w:r>
        <w:rPr>
          <w:i/>
          <w:iCs/>
          <w:sz w:val="20"/>
          <w:szCs w:val="20"/>
        </w:rPr>
        <w:t xml:space="preserve">Lecture </w:t>
      </w:r>
      <w:proofErr w:type="spellStart"/>
      <w:r>
        <w:rPr>
          <w:i/>
          <w:iCs/>
          <w:sz w:val="20"/>
          <w:szCs w:val="20"/>
        </w:rPr>
        <w:t>écostylistique</w:t>
      </w:r>
      <w:proofErr w:type="spellEnd"/>
      <w:r>
        <w:rPr>
          <w:i/>
          <w:iCs/>
          <w:sz w:val="20"/>
          <w:szCs w:val="20"/>
        </w:rPr>
        <w:t xml:space="preserve"> de Saint-John Perse Jean Giono et Maylis de Kerangal - Forme agissante et </w:t>
      </w:r>
      <w:proofErr w:type="spellStart"/>
      <w:r>
        <w:rPr>
          <w:i/>
          <w:iCs/>
          <w:sz w:val="20"/>
          <w:szCs w:val="20"/>
        </w:rPr>
        <w:t>écostylistique</w:t>
      </w:r>
      <w:proofErr w:type="spellEnd"/>
      <w:r>
        <w:rPr>
          <w:sz w:val="20"/>
          <w:szCs w:val="20"/>
        </w:rPr>
        <w:t xml:space="preserve">. </w:t>
      </w:r>
      <w:r w:rsidR="00324E9A">
        <w:rPr>
          <w:sz w:val="20"/>
          <w:szCs w:val="20"/>
        </w:rPr>
        <w:t>T</w:t>
      </w:r>
      <w:r>
        <w:rPr>
          <w:sz w:val="20"/>
          <w:szCs w:val="20"/>
        </w:rPr>
        <w:t>exte intégral de cette introduction, avec références aux deux romanciers nommés dans le titre, à l’adresse ::</w:t>
      </w:r>
    </w:p>
    <w:p w14:paraId="08AA2419" w14:textId="77777777" w:rsidR="001E27CD" w:rsidRDefault="001E27CD" w:rsidP="001E27CD">
      <w:pPr>
        <w:jc w:val="both"/>
        <w:rPr>
          <w:sz w:val="20"/>
          <w:szCs w:val="20"/>
        </w:rPr>
      </w:pPr>
      <w:r>
        <w:rPr>
          <w:sz w:val="20"/>
          <w:szCs w:val="20"/>
        </w:rPr>
        <w:t xml:space="preserve"> </w:t>
      </w:r>
      <w:hyperlink r:id="rId1" w:history="1">
        <w:r>
          <w:rPr>
            <w:rStyle w:val="Lienhypertexte"/>
            <w:rFonts w:eastAsiaTheme="majorEastAsia"/>
            <w:sz w:val="20"/>
            <w:szCs w:val="20"/>
          </w:rPr>
          <w:t>https://listes.u-picardie.fr/wws/d_read/sjpinfo/HDR%20S%20Dournel.pdf</w:t>
        </w:r>
      </w:hyperlink>
    </w:p>
    <w:p w14:paraId="023783CA" w14:textId="77777777" w:rsidR="001E27CD" w:rsidRDefault="001E27CD" w:rsidP="001E27CD">
      <w:pPr>
        <w:jc w:val="both"/>
        <w:rPr>
          <w:sz w:val="20"/>
          <w:szCs w:val="20"/>
        </w:rPr>
      </w:pPr>
      <w:r>
        <w:rPr>
          <w:rStyle w:val="Appelnotedebasdep"/>
          <w:rFonts w:eastAsiaTheme="majorEastAsia"/>
          <w:sz w:val="20"/>
          <w:szCs w:val="20"/>
        </w:rPr>
        <w:footnoteRef/>
      </w:r>
      <w:r>
        <w:rPr>
          <w:sz w:val="20"/>
          <w:szCs w:val="20"/>
        </w:rPr>
        <w:t xml:space="preserve"> Saint-John Perse, </w:t>
      </w:r>
      <w:r>
        <w:rPr>
          <w:i/>
          <w:iCs/>
          <w:sz w:val="20"/>
          <w:szCs w:val="20"/>
        </w:rPr>
        <w:t>Œuvres complètes</w:t>
      </w:r>
      <w:r>
        <w:rPr>
          <w:sz w:val="20"/>
          <w:szCs w:val="20"/>
        </w:rPr>
        <w:t xml:space="preserve">, Paris : NRF-Gallimard, coll. « Bibliothèque de la Pléiade », 1972 (désormais </w:t>
      </w:r>
      <w:r>
        <w:rPr>
          <w:i/>
          <w:iCs/>
          <w:sz w:val="20"/>
          <w:szCs w:val="20"/>
        </w:rPr>
        <w:t>OC</w:t>
      </w:r>
      <w:r>
        <w:rPr>
          <w:sz w:val="20"/>
          <w:szCs w:val="20"/>
        </w:rPr>
        <w:t>).</w:t>
      </w:r>
    </w:p>
  </w:footnote>
  <w:footnote w:id="2">
    <w:p w14:paraId="26C79268" w14:textId="77777777" w:rsidR="001E27CD" w:rsidRDefault="001E27CD" w:rsidP="001E27CD">
      <w:pPr>
        <w:jc w:val="both"/>
        <w:rPr>
          <w:sz w:val="20"/>
          <w:szCs w:val="20"/>
        </w:rPr>
      </w:pPr>
      <w:r>
        <w:rPr>
          <w:rStyle w:val="Appelnotedebasdep"/>
          <w:rFonts w:eastAsiaTheme="majorEastAsia"/>
          <w:sz w:val="20"/>
          <w:szCs w:val="20"/>
        </w:rPr>
        <w:footnoteRef/>
      </w:r>
      <w:r>
        <w:rPr>
          <w:sz w:val="20"/>
          <w:szCs w:val="20"/>
        </w:rPr>
        <w:t xml:space="preserve"> Jean Giono, </w:t>
      </w:r>
      <w:r>
        <w:rPr>
          <w:i/>
          <w:iCs/>
          <w:sz w:val="20"/>
          <w:szCs w:val="20"/>
        </w:rPr>
        <w:t>Batailles dans la montagne, Œuvres complètes</w:t>
      </w:r>
      <w:r>
        <w:rPr>
          <w:sz w:val="20"/>
          <w:szCs w:val="20"/>
        </w:rPr>
        <w:t xml:space="preserve">, t. II, Paris : NRF-Gallimard, coll. « Bibliothèque de la Pléiade », [1937], 1972, p. 785-1186; </w:t>
      </w:r>
      <w:r>
        <w:rPr>
          <w:i/>
          <w:iCs/>
          <w:sz w:val="20"/>
          <w:szCs w:val="20"/>
        </w:rPr>
        <w:t>Un roi sans divertissement, Œuvres complètes</w:t>
      </w:r>
      <w:r>
        <w:rPr>
          <w:sz w:val="20"/>
          <w:szCs w:val="20"/>
        </w:rPr>
        <w:t>, t. III, Paris : NRF-Gallimard, coll. « Bibliothèque de la Pléiade », [1948], 1974, p. 453-606.</w:t>
      </w:r>
    </w:p>
  </w:footnote>
  <w:footnote w:id="3">
    <w:p w14:paraId="51487833" w14:textId="77777777" w:rsidR="001E27CD" w:rsidRDefault="001E27CD" w:rsidP="001E27CD">
      <w:pPr>
        <w:jc w:val="both"/>
        <w:rPr>
          <w:sz w:val="20"/>
          <w:szCs w:val="20"/>
        </w:rPr>
      </w:pPr>
      <w:r>
        <w:rPr>
          <w:rStyle w:val="Appelnotedebasdep"/>
          <w:rFonts w:eastAsiaTheme="majorEastAsia"/>
          <w:sz w:val="20"/>
          <w:szCs w:val="20"/>
        </w:rPr>
        <w:footnoteRef/>
      </w:r>
      <w:r>
        <w:rPr>
          <w:b/>
          <w:bCs/>
          <w:sz w:val="20"/>
          <w:szCs w:val="20"/>
        </w:rPr>
        <w:t xml:space="preserve"> </w:t>
      </w:r>
      <w:r>
        <w:rPr>
          <w:sz w:val="20"/>
          <w:szCs w:val="20"/>
        </w:rPr>
        <w:t xml:space="preserve">Maylis de Kerangal, </w:t>
      </w:r>
      <w:r>
        <w:rPr>
          <w:i/>
          <w:iCs/>
          <w:sz w:val="20"/>
          <w:szCs w:val="20"/>
        </w:rPr>
        <w:t>Corniche Kennedy</w:t>
      </w:r>
      <w:r>
        <w:rPr>
          <w:sz w:val="20"/>
          <w:szCs w:val="20"/>
        </w:rPr>
        <w:t xml:space="preserve">, Paris : Folio-Gallimard, 2008; </w:t>
      </w:r>
      <w:r>
        <w:rPr>
          <w:i/>
          <w:iCs/>
          <w:sz w:val="20"/>
          <w:szCs w:val="20"/>
        </w:rPr>
        <w:t>Naissance d’un pont</w:t>
      </w:r>
      <w:r>
        <w:rPr>
          <w:sz w:val="20"/>
          <w:szCs w:val="20"/>
        </w:rPr>
        <w:t>, Paris : Folio-Gallimard, 2010.</w:t>
      </w:r>
    </w:p>
  </w:footnote>
  <w:footnote w:id="4">
    <w:p w14:paraId="643813E4" w14:textId="77777777" w:rsidR="001E27CD" w:rsidRDefault="001E27CD" w:rsidP="001E27CD">
      <w:pPr>
        <w:jc w:val="both"/>
        <w:rPr>
          <w:sz w:val="20"/>
          <w:szCs w:val="20"/>
        </w:rPr>
      </w:pPr>
      <w:r>
        <w:rPr>
          <w:rStyle w:val="Appelnotedebasdep"/>
          <w:rFonts w:eastAsiaTheme="majorEastAsia"/>
          <w:sz w:val="20"/>
          <w:szCs w:val="20"/>
        </w:rPr>
        <w:footnoteRef/>
      </w:r>
      <w:r>
        <w:rPr>
          <w:sz w:val="20"/>
          <w:szCs w:val="20"/>
        </w:rPr>
        <w:t xml:space="preserve"> </w:t>
      </w:r>
      <w:r>
        <w:rPr>
          <w:i/>
          <w:iCs/>
          <w:sz w:val="20"/>
          <w:szCs w:val="20"/>
        </w:rPr>
        <w:t>Chronique</w:t>
      </w:r>
      <w:r>
        <w:rPr>
          <w:sz w:val="20"/>
          <w:szCs w:val="20"/>
        </w:rPr>
        <w:t>, III.</w:t>
      </w:r>
    </w:p>
  </w:footnote>
  <w:footnote w:id="5">
    <w:p w14:paraId="3D6FDC4A" w14:textId="0E71E32C" w:rsidR="001E27CD" w:rsidRPr="007934CF" w:rsidRDefault="001E27CD" w:rsidP="007934CF">
      <w:pPr>
        <w:jc w:val="both"/>
        <w:rPr>
          <w:sz w:val="20"/>
          <w:szCs w:val="20"/>
        </w:rPr>
      </w:pPr>
      <w:r>
        <w:rPr>
          <w:rStyle w:val="Appelnotedebasdep"/>
          <w:rFonts w:eastAsiaTheme="majorEastAsia"/>
          <w:sz w:val="20"/>
          <w:szCs w:val="20"/>
        </w:rPr>
        <w:footnoteRef/>
      </w:r>
      <w:r>
        <w:rPr>
          <w:sz w:val="20"/>
          <w:szCs w:val="20"/>
        </w:rPr>
        <w:t xml:space="preserve"> « Hommage à Léon-Paul Fargue », </w:t>
      </w:r>
      <w:r>
        <w:rPr>
          <w:i/>
          <w:iCs/>
          <w:sz w:val="20"/>
          <w:szCs w:val="20"/>
        </w:rPr>
        <w:t>OC</w:t>
      </w:r>
      <w:r>
        <w:rPr>
          <w:sz w:val="20"/>
          <w:szCs w:val="20"/>
        </w:rPr>
        <w:t xml:space="preserve">, p. </w:t>
      </w:r>
      <w:r>
        <w:rPr>
          <w:sz w:val="20"/>
          <w:szCs w:val="20"/>
        </w:rPr>
        <w:t>517.</w:t>
      </w:r>
    </w:p>
  </w:footnote>
  <w:footnote w:id="6">
    <w:p w14:paraId="0762C4C0" w14:textId="77777777" w:rsidR="001E27CD" w:rsidRDefault="001E27CD" w:rsidP="001E27CD">
      <w:pPr>
        <w:jc w:val="both"/>
        <w:rPr>
          <w:sz w:val="20"/>
          <w:szCs w:val="20"/>
        </w:rPr>
      </w:pPr>
      <w:r>
        <w:rPr>
          <w:rStyle w:val="Appelnotedebasdep"/>
          <w:rFonts w:eastAsiaTheme="majorEastAsia"/>
          <w:sz w:val="20"/>
          <w:szCs w:val="20"/>
        </w:rPr>
        <w:footnoteRef/>
      </w:r>
      <w:r>
        <w:rPr>
          <w:sz w:val="20"/>
          <w:szCs w:val="20"/>
        </w:rPr>
        <w:t xml:space="preserve"> Sur cette question de la narrativité de la poésie moderne et contemporaine, voir la synthèse de Dominique Combe : « Le poème comme récit minimal, de Rimbaud à </w:t>
      </w:r>
      <w:proofErr w:type="spellStart"/>
      <w:r>
        <w:rPr>
          <w:sz w:val="20"/>
          <w:szCs w:val="20"/>
        </w:rPr>
        <w:t>Hocquard</w:t>
      </w:r>
      <w:proofErr w:type="spellEnd"/>
      <w:r>
        <w:rPr>
          <w:sz w:val="20"/>
          <w:szCs w:val="20"/>
        </w:rPr>
        <w:t xml:space="preserve"> », dans S. </w:t>
      </w:r>
      <w:proofErr w:type="spellStart"/>
      <w:r>
        <w:rPr>
          <w:sz w:val="20"/>
          <w:szCs w:val="20"/>
        </w:rPr>
        <w:t>Bedrane</w:t>
      </w:r>
      <w:proofErr w:type="spellEnd"/>
      <w:r>
        <w:rPr>
          <w:sz w:val="20"/>
          <w:szCs w:val="20"/>
        </w:rPr>
        <w:t xml:space="preserve">, F. Revaz et M. </w:t>
      </w:r>
      <w:proofErr w:type="spellStart"/>
      <w:r>
        <w:rPr>
          <w:sz w:val="20"/>
          <w:szCs w:val="20"/>
        </w:rPr>
        <w:t>Viegnes</w:t>
      </w:r>
      <w:proofErr w:type="spellEnd"/>
      <w:r>
        <w:rPr>
          <w:sz w:val="20"/>
          <w:szCs w:val="20"/>
        </w:rPr>
        <w:t xml:space="preserve"> (</w:t>
      </w:r>
      <w:proofErr w:type="spellStart"/>
      <w:r>
        <w:rPr>
          <w:sz w:val="20"/>
          <w:szCs w:val="20"/>
        </w:rPr>
        <w:t>dir</w:t>
      </w:r>
      <w:proofErr w:type="spellEnd"/>
      <w:r>
        <w:rPr>
          <w:sz w:val="20"/>
          <w:szCs w:val="20"/>
        </w:rPr>
        <w:t xml:space="preserve">.), </w:t>
      </w:r>
      <w:r>
        <w:rPr>
          <w:i/>
          <w:iCs/>
          <w:sz w:val="20"/>
          <w:szCs w:val="20"/>
        </w:rPr>
        <w:t>Du minime au minimalisme. Littérature, arts, médias</w:t>
      </w:r>
      <w:r>
        <w:rPr>
          <w:sz w:val="20"/>
          <w:szCs w:val="20"/>
        </w:rPr>
        <w:t>, Paris : Presses Sorbonne Nouvelle, 2012, p. 45-50.</w:t>
      </w:r>
    </w:p>
  </w:footnote>
  <w:footnote w:id="7">
    <w:p w14:paraId="7322A043" w14:textId="77777777" w:rsidR="001E27CD" w:rsidRDefault="001E27CD" w:rsidP="001E27CD">
      <w:pPr>
        <w:jc w:val="both"/>
        <w:rPr>
          <w:sz w:val="20"/>
          <w:szCs w:val="20"/>
        </w:rPr>
      </w:pPr>
      <w:r>
        <w:rPr>
          <w:rStyle w:val="Appelnotedebasdep"/>
          <w:rFonts w:eastAsiaTheme="majorEastAsia"/>
          <w:sz w:val="20"/>
          <w:szCs w:val="20"/>
        </w:rPr>
        <w:footnoteRef/>
      </w:r>
      <w:r>
        <w:rPr>
          <w:sz w:val="20"/>
          <w:szCs w:val="20"/>
        </w:rPr>
        <w:t xml:space="preserve"> « Discours de Florence », </w:t>
      </w:r>
      <w:r>
        <w:rPr>
          <w:i/>
          <w:iCs/>
          <w:sz w:val="20"/>
          <w:szCs w:val="20"/>
        </w:rPr>
        <w:t>OC</w:t>
      </w:r>
      <w:r>
        <w:rPr>
          <w:sz w:val="20"/>
          <w:szCs w:val="20"/>
        </w:rPr>
        <w:t>, p. 451.</w:t>
      </w:r>
    </w:p>
  </w:footnote>
  <w:footnote w:id="8">
    <w:p w14:paraId="126B121E" w14:textId="77777777" w:rsidR="001E27CD" w:rsidRDefault="001E27CD" w:rsidP="001E27CD">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J. Giono, </w:t>
      </w:r>
      <w:r>
        <w:rPr>
          <w:rFonts w:ascii="Times New Roman" w:hAnsi="Times New Roman" w:cs="Times New Roman"/>
          <w:i/>
          <w:iCs/>
        </w:rPr>
        <w:t>Les vraies richesses</w:t>
      </w:r>
      <w:r>
        <w:rPr>
          <w:rFonts w:ascii="Times New Roman" w:hAnsi="Times New Roman" w:cs="Times New Roman"/>
        </w:rPr>
        <w:t>, Paris : Grasset, « Les cahiers rouges », 2002, p. 20.</w:t>
      </w:r>
    </w:p>
  </w:footnote>
  <w:footnote w:id="9">
    <w:p w14:paraId="30A2D268" w14:textId="77777777" w:rsidR="001E27CD" w:rsidRDefault="001E27CD" w:rsidP="001E27CD">
      <w:pPr>
        <w:jc w:val="both"/>
        <w:rPr>
          <w:sz w:val="20"/>
          <w:szCs w:val="20"/>
        </w:rPr>
      </w:pPr>
      <w:r>
        <w:rPr>
          <w:rStyle w:val="Appelnotedebasdep"/>
          <w:rFonts w:eastAsiaTheme="majorEastAsia"/>
          <w:sz w:val="20"/>
          <w:szCs w:val="20"/>
        </w:rPr>
        <w:footnoteRef/>
      </w:r>
      <w:r>
        <w:rPr>
          <w:sz w:val="20"/>
          <w:szCs w:val="20"/>
        </w:rPr>
        <w:t xml:space="preserve"> « Discours de Florence », </w:t>
      </w:r>
      <w:r>
        <w:rPr>
          <w:i/>
          <w:iCs/>
          <w:sz w:val="20"/>
          <w:szCs w:val="20"/>
        </w:rPr>
        <w:t>OC</w:t>
      </w:r>
      <w:r>
        <w:rPr>
          <w:sz w:val="20"/>
          <w:szCs w:val="20"/>
        </w:rPr>
        <w:t>, p. 455 et p. 453.</w:t>
      </w:r>
    </w:p>
  </w:footnote>
  <w:footnote w:id="10">
    <w:p w14:paraId="716E9A86" w14:textId="77777777" w:rsidR="001E27CD" w:rsidRDefault="001E27CD" w:rsidP="001E27CD">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Exil</w:t>
      </w:r>
      <w:r>
        <w:rPr>
          <w:rFonts w:ascii="Times New Roman" w:hAnsi="Times New Roman" w:cs="Times New Roman"/>
        </w:rPr>
        <w:t>, VII.</w:t>
      </w:r>
    </w:p>
  </w:footnote>
  <w:footnote w:id="11">
    <w:p w14:paraId="3B2AF01B" w14:textId="77777777" w:rsidR="001E27CD" w:rsidRDefault="001E27CD" w:rsidP="001E27CD">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Amers</w:t>
      </w:r>
      <w:r>
        <w:rPr>
          <w:rFonts w:ascii="Times New Roman" w:hAnsi="Times New Roman" w:cs="Times New Roman"/>
        </w:rPr>
        <w:t>, III, « Strophe ».</w:t>
      </w:r>
    </w:p>
  </w:footnote>
  <w:footnote w:id="12">
    <w:p w14:paraId="794A0529" w14:textId="77777777" w:rsidR="001E27CD" w:rsidRDefault="001E27CD" w:rsidP="001E27CD">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 Discours de Florence », </w:t>
      </w:r>
      <w:r>
        <w:rPr>
          <w:rFonts w:ascii="Times New Roman" w:hAnsi="Times New Roman" w:cs="Times New Roman"/>
          <w:i/>
          <w:iCs/>
        </w:rPr>
        <w:t>OC</w:t>
      </w:r>
      <w:r>
        <w:rPr>
          <w:rFonts w:ascii="Times New Roman" w:hAnsi="Times New Roman" w:cs="Times New Roman"/>
        </w:rPr>
        <w:t>, p. 454.</w:t>
      </w:r>
    </w:p>
  </w:footnote>
  <w:footnote w:id="13">
    <w:p w14:paraId="27B4EF6E" w14:textId="77777777" w:rsidR="001E27CD" w:rsidRDefault="001E27CD" w:rsidP="001E27CD">
      <w:pPr>
        <w:jc w:val="both"/>
        <w:rPr>
          <w:sz w:val="20"/>
          <w:szCs w:val="20"/>
        </w:rPr>
      </w:pPr>
      <w:r>
        <w:rPr>
          <w:rStyle w:val="Appelnotedebasdep"/>
          <w:rFonts w:eastAsiaTheme="majorEastAsia"/>
          <w:sz w:val="20"/>
          <w:szCs w:val="20"/>
        </w:rPr>
        <w:footnoteRef/>
      </w:r>
      <w:r>
        <w:rPr>
          <w:sz w:val="20"/>
          <w:szCs w:val="20"/>
        </w:rPr>
        <w:t xml:space="preserve"> « Lettre à un journaliste américain », </w:t>
      </w:r>
      <w:r>
        <w:rPr>
          <w:i/>
          <w:iCs/>
          <w:sz w:val="20"/>
          <w:szCs w:val="20"/>
        </w:rPr>
        <w:t>OC</w:t>
      </w:r>
      <w:r>
        <w:rPr>
          <w:sz w:val="20"/>
          <w:szCs w:val="20"/>
        </w:rPr>
        <w:t>, p. 556.</w:t>
      </w:r>
    </w:p>
  </w:footnote>
  <w:footnote w:id="14">
    <w:p w14:paraId="63521A69" w14:textId="77777777" w:rsidR="001E27CD" w:rsidRDefault="001E27CD" w:rsidP="001E27CD">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 xml:space="preserve">Anabase, </w:t>
      </w:r>
      <w:r>
        <w:rPr>
          <w:rFonts w:ascii="Times New Roman" w:hAnsi="Times New Roman" w:cs="Times New Roman"/>
        </w:rPr>
        <w:t xml:space="preserve">IV. </w:t>
      </w:r>
    </w:p>
  </w:footnote>
  <w:footnote w:id="15">
    <w:p w14:paraId="5FCC2AF9" w14:textId="77777777" w:rsidR="001E27CD" w:rsidRDefault="001E27CD" w:rsidP="001E27CD">
      <w:pPr>
        <w:jc w:val="both"/>
        <w:rPr>
          <w:sz w:val="20"/>
          <w:szCs w:val="20"/>
        </w:rPr>
      </w:pPr>
      <w:r>
        <w:rPr>
          <w:rStyle w:val="Appelnotedebasdep"/>
          <w:rFonts w:eastAsiaTheme="majorEastAsia"/>
          <w:sz w:val="20"/>
          <w:szCs w:val="20"/>
        </w:rPr>
        <w:footnoteRef/>
      </w:r>
      <w:r>
        <w:rPr>
          <w:sz w:val="20"/>
          <w:szCs w:val="20"/>
        </w:rPr>
        <w:t xml:space="preserve"> </w:t>
      </w:r>
      <w:r>
        <w:rPr>
          <w:i/>
          <w:iCs/>
          <w:sz w:val="20"/>
          <w:szCs w:val="20"/>
        </w:rPr>
        <w:t>Amers</w:t>
      </w:r>
      <w:r>
        <w:rPr>
          <w:sz w:val="20"/>
          <w:szCs w:val="20"/>
        </w:rPr>
        <w:t>, IX, 4.</w:t>
      </w:r>
    </w:p>
  </w:footnote>
  <w:footnote w:id="16">
    <w:p w14:paraId="369983D3" w14:textId="77777777" w:rsidR="001E27CD" w:rsidRDefault="001E27CD" w:rsidP="001E27CD">
      <w:pPr>
        <w:jc w:val="both"/>
        <w:rPr>
          <w:sz w:val="20"/>
          <w:szCs w:val="20"/>
        </w:rPr>
      </w:pPr>
      <w:r>
        <w:rPr>
          <w:rStyle w:val="Appelnotedebasdep"/>
          <w:rFonts w:eastAsiaTheme="majorEastAsia"/>
          <w:sz w:val="20"/>
          <w:szCs w:val="20"/>
        </w:rPr>
        <w:footnoteRef/>
      </w:r>
      <w:r>
        <w:rPr>
          <w:sz w:val="20"/>
          <w:szCs w:val="20"/>
        </w:rPr>
        <w:t xml:space="preserve"> Le poète est on ne peut plus explicite quant à ce refus, lui dont les poèmes s’inscrivent « sur un plan idéal ou absolu, en réaction violente contre toute notion (même la plus indirecte) de ‘‘littérature engagée’’ », </w:t>
      </w:r>
      <w:r>
        <w:rPr>
          <w:i/>
          <w:iCs/>
          <w:sz w:val="20"/>
          <w:szCs w:val="20"/>
        </w:rPr>
        <w:t>OC</w:t>
      </w:r>
      <w:r>
        <w:rPr>
          <w:sz w:val="20"/>
          <w:szCs w:val="20"/>
        </w:rPr>
        <w:t>, p. 453.</w:t>
      </w:r>
    </w:p>
  </w:footnote>
  <w:footnote w:id="17">
    <w:p w14:paraId="3A6308AC" w14:textId="77777777" w:rsidR="001E27CD" w:rsidRDefault="001E27CD" w:rsidP="001E27CD">
      <w:pPr>
        <w:jc w:val="both"/>
        <w:rPr>
          <w:sz w:val="20"/>
          <w:szCs w:val="20"/>
        </w:rPr>
      </w:pPr>
      <w:r>
        <w:rPr>
          <w:rStyle w:val="Appelnotedebasdep"/>
          <w:rFonts w:eastAsiaTheme="majorEastAsia"/>
          <w:sz w:val="20"/>
          <w:szCs w:val="20"/>
        </w:rPr>
        <w:footnoteRef/>
      </w:r>
      <w:r>
        <w:rPr>
          <w:sz w:val="20"/>
          <w:szCs w:val="20"/>
        </w:rPr>
        <w:t xml:space="preserve"> « Discours de Stockholm », p. 446.</w:t>
      </w:r>
    </w:p>
  </w:footnote>
  <w:footnote w:id="18">
    <w:p w14:paraId="04509238" w14:textId="77777777" w:rsidR="001E27CD" w:rsidRDefault="001E27CD" w:rsidP="001E27CD">
      <w:pPr>
        <w:jc w:val="both"/>
        <w:rPr>
          <w:sz w:val="20"/>
          <w:szCs w:val="20"/>
        </w:rPr>
      </w:pPr>
      <w:r>
        <w:rPr>
          <w:rStyle w:val="Appelnotedebasdep"/>
          <w:rFonts w:eastAsiaTheme="majorEastAsia"/>
          <w:sz w:val="20"/>
          <w:szCs w:val="20"/>
        </w:rPr>
        <w:footnoteRef/>
      </w:r>
      <w:r>
        <w:rPr>
          <w:sz w:val="20"/>
          <w:szCs w:val="20"/>
        </w:rPr>
        <w:t xml:space="preserve"> Jean-Christophe Cavallin, « Vers une écologie littéraire », dans Fabula-</w:t>
      </w:r>
      <w:proofErr w:type="spellStart"/>
      <w:r>
        <w:rPr>
          <w:sz w:val="20"/>
          <w:szCs w:val="20"/>
        </w:rPr>
        <w:t>LhT</w:t>
      </w:r>
      <w:proofErr w:type="spellEnd"/>
      <w:r>
        <w:rPr>
          <w:sz w:val="20"/>
          <w:szCs w:val="20"/>
        </w:rPr>
        <w:t>, n° 27, « </w:t>
      </w:r>
      <w:proofErr w:type="spellStart"/>
      <w:r>
        <w:rPr>
          <w:sz w:val="20"/>
          <w:szCs w:val="20"/>
        </w:rPr>
        <w:t>Écopoétique</w:t>
      </w:r>
      <w:proofErr w:type="spellEnd"/>
      <w:r>
        <w:rPr>
          <w:sz w:val="20"/>
          <w:szCs w:val="20"/>
        </w:rPr>
        <w:t xml:space="preserve"> pour des temps extrêmes », </w:t>
      </w:r>
      <w:proofErr w:type="spellStart"/>
      <w:r>
        <w:rPr>
          <w:sz w:val="20"/>
          <w:szCs w:val="20"/>
        </w:rPr>
        <w:t>dir</w:t>
      </w:r>
      <w:proofErr w:type="spellEnd"/>
      <w:r>
        <w:rPr>
          <w:sz w:val="20"/>
          <w:szCs w:val="20"/>
        </w:rPr>
        <w:t xml:space="preserve">. Jean-Christophe Cavallin et Alain Romestaing, December 2021, URL : </w:t>
      </w:r>
      <w:hyperlink r:id="rId2" w:history="1">
        <w:r>
          <w:rPr>
            <w:rStyle w:val="Lienhypertexte"/>
            <w:rFonts w:eastAsiaTheme="majorEastAsia"/>
            <w:sz w:val="20"/>
            <w:szCs w:val="20"/>
          </w:rPr>
          <w:t>http://www.fabula.org/lht/27/cavallin.html</w:t>
        </w:r>
      </w:hyperlink>
      <w:r>
        <w:rPr>
          <w:sz w:val="20"/>
          <w:szCs w:val="20"/>
        </w:rPr>
        <w:t xml:space="preserve">, page consultée le 27 octobre 2024. </w:t>
      </w:r>
    </w:p>
  </w:footnote>
  <w:footnote w:id="19">
    <w:p w14:paraId="220618C1" w14:textId="77777777" w:rsidR="001E27CD" w:rsidRDefault="001E27CD" w:rsidP="001E27CD">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 Discours de Stockholm », </w:t>
      </w:r>
      <w:r>
        <w:rPr>
          <w:rFonts w:ascii="Times New Roman" w:hAnsi="Times New Roman" w:cs="Times New Roman"/>
          <w:i/>
          <w:iCs/>
        </w:rPr>
        <w:t xml:space="preserve">OC </w:t>
      </w:r>
      <w:r>
        <w:rPr>
          <w:rFonts w:ascii="Times New Roman" w:hAnsi="Times New Roman" w:cs="Times New Roman"/>
        </w:rPr>
        <w:t>p. 446.</w:t>
      </w:r>
    </w:p>
  </w:footnote>
  <w:footnote w:id="20">
    <w:p w14:paraId="5EF0769C" w14:textId="77777777" w:rsidR="001E27CD" w:rsidRDefault="001E27CD" w:rsidP="001E27CD">
      <w:pPr>
        <w:jc w:val="both"/>
        <w:rPr>
          <w:sz w:val="20"/>
          <w:szCs w:val="20"/>
        </w:rPr>
      </w:pPr>
      <w:r>
        <w:rPr>
          <w:rStyle w:val="Appelnotedebasdep"/>
          <w:rFonts w:eastAsiaTheme="majorEastAsia"/>
          <w:sz w:val="20"/>
          <w:szCs w:val="20"/>
        </w:rPr>
        <w:footnoteRef/>
      </w:r>
      <w:r>
        <w:rPr>
          <w:sz w:val="20"/>
          <w:szCs w:val="20"/>
        </w:rPr>
        <w:t xml:space="preserve"> </w:t>
      </w:r>
      <w:r>
        <w:rPr>
          <w:i/>
          <w:iCs/>
          <w:sz w:val="20"/>
          <w:szCs w:val="20"/>
        </w:rPr>
        <w:t>Vents</w:t>
      </w:r>
      <w:r>
        <w:rPr>
          <w:sz w:val="20"/>
          <w:szCs w:val="20"/>
        </w:rPr>
        <w:t>, I, 5.</w:t>
      </w:r>
    </w:p>
  </w:footnote>
  <w:footnote w:id="21">
    <w:p w14:paraId="4A0317FC" w14:textId="77777777" w:rsidR="001E27CD" w:rsidRDefault="001E27CD" w:rsidP="001E27CD">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Exil</w:t>
      </w:r>
      <w:r>
        <w:rPr>
          <w:rFonts w:ascii="Times New Roman" w:hAnsi="Times New Roman" w:cs="Times New Roman"/>
        </w:rPr>
        <w:t>, V.</w:t>
      </w:r>
    </w:p>
  </w:footnote>
  <w:footnote w:id="22">
    <w:p w14:paraId="73BC0C2A" w14:textId="77777777" w:rsidR="001E27CD" w:rsidRDefault="001E27CD" w:rsidP="001E27CD">
      <w:pPr>
        <w:jc w:val="both"/>
        <w:rPr>
          <w:sz w:val="20"/>
          <w:szCs w:val="20"/>
        </w:rPr>
      </w:pPr>
      <w:r>
        <w:rPr>
          <w:rStyle w:val="Appelnotedebasdep"/>
          <w:rFonts w:eastAsiaTheme="majorEastAsia"/>
          <w:sz w:val="20"/>
          <w:szCs w:val="20"/>
        </w:rPr>
        <w:footnoteRef/>
      </w:r>
      <w:r>
        <w:rPr>
          <w:sz w:val="20"/>
          <w:szCs w:val="20"/>
        </w:rPr>
        <w:t xml:space="preserve"> Stéphane Chaudier et Joël July, « Des corps et des voix : l’euphorie dans le style de Maylis de Kerangal », Mathilde Bonazzi, Cécile Narjoux et Isabelle Serça (</w:t>
      </w:r>
      <w:proofErr w:type="spellStart"/>
      <w:r>
        <w:rPr>
          <w:sz w:val="20"/>
          <w:szCs w:val="20"/>
        </w:rPr>
        <w:t>dir</w:t>
      </w:r>
      <w:proofErr w:type="spellEnd"/>
      <w:r>
        <w:rPr>
          <w:sz w:val="20"/>
          <w:szCs w:val="20"/>
        </w:rPr>
        <w:t xml:space="preserve">.), </w:t>
      </w:r>
      <w:r>
        <w:rPr>
          <w:i/>
          <w:iCs/>
          <w:sz w:val="20"/>
          <w:szCs w:val="20"/>
        </w:rPr>
        <w:t>La langue de Maylis de Kerangal. « Étirer l’espace, allonger le temps »</w:t>
      </w:r>
      <w:r>
        <w:rPr>
          <w:sz w:val="20"/>
          <w:szCs w:val="20"/>
        </w:rPr>
        <w:t>, Éditions Universitaires de Dijon, coll. « Langages », 2017, p. 142.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AC7"/>
    <w:multiLevelType w:val="hybridMultilevel"/>
    <w:tmpl w:val="9514BEE6"/>
    <w:lvl w:ilvl="0" w:tplc="416E9EF4">
      <w:start w:val="1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113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0F"/>
    <w:rsid w:val="000268CE"/>
    <w:rsid w:val="000C4C03"/>
    <w:rsid w:val="000D6240"/>
    <w:rsid w:val="001E27CD"/>
    <w:rsid w:val="001F70B0"/>
    <w:rsid w:val="00263502"/>
    <w:rsid w:val="00266280"/>
    <w:rsid w:val="002A1A55"/>
    <w:rsid w:val="00313AC8"/>
    <w:rsid w:val="00323C30"/>
    <w:rsid w:val="00324E9A"/>
    <w:rsid w:val="003C1824"/>
    <w:rsid w:val="00634399"/>
    <w:rsid w:val="007868C1"/>
    <w:rsid w:val="007934CF"/>
    <w:rsid w:val="007F47D7"/>
    <w:rsid w:val="00857B8F"/>
    <w:rsid w:val="00867567"/>
    <w:rsid w:val="0087675B"/>
    <w:rsid w:val="00902ACF"/>
    <w:rsid w:val="00931457"/>
    <w:rsid w:val="00945DB6"/>
    <w:rsid w:val="00A47927"/>
    <w:rsid w:val="00A7242E"/>
    <w:rsid w:val="00A73AF7"/>
    <w:rsid w:val="00B1088E"/>
    <w:rsid w:val="00B77111"/>
    <w:rsid w:val="00B77B62"/>
    <w:rsid w:val="00C54D76"/>
    <w:rsid w:val="00CD00E5"/>
    <w:rsid w:val="00D27A0F"/>
    <w:rsid w:val="00DE1D45"/>
    <w:rsid w:val="00E13E4E"/>
    <w:rsid w:val="00E72367"/>
    <w:rsid w:val="00E819C3"/>
    <w:rsid w:val="00F111E8"/>
    <w:rsid w:val="00F20326"/>
    <w:rsid w:val="00F46DCD"/>
    <w:rsid w:val="00F61903"/>
    <w:rsid w:val="00FB6D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A7FD"/>
  <w15:chartTrackingRefBased/>
  <w15:docId w15:val="{A357E572-68C5-40D4-A881-0780B686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7CD"/>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D27A0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D27A0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D27A0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D27A0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D27A0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D27A0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D27A0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D27A0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D27A0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7A0F"/>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D27A0F"/>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D27A0F"/>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D27A0F"/>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D27A0F"/>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D27A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7A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7A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7A0F"/>
    <w:rPr>
      <w:rFonts w:eastAsiaTheme="majorEastAsia" w:cstheme="majorBidi"/>
      <w:color w:val="272727" w:themeColor="text1" w:themeTint="D8"/>
    </w:rPr>
  </w:style>
  <w:style w:type="paragraph" w:styleId="Titre">
    <w:name w:val="Title"/>
    <w:basedOn w:val="Normal"/>
    <w:next w:val="Normal"/>
    <w:link w:val="TitreCar"/>
    <w:uiPriority w:val="10"/>
    <w:qFormat/>
    <w:rsid w:val="00D27A0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D27A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7A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D27A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7A0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D27A0F"/>
    <w:rPr>
      <w:i/>
      <w:iCs/>
      <w:color w:val="404040" w:themeColor="text1" w:themeTint="BF"/>
    </w:rPr>
  </w:style>
  <w:style w:type="paragraph" w:styleId="Paragraphedeliste">
    <w:name w:val="List Paragraph"/>
    <w:basedOn w:val="Normal"/>
    <w:uiPriority w:val="34"/>
    <w:qFormat/>
    <w:rsid w:val="00D27A0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D27A0F"/>
    <w:rPr>
      <w:i/>
      <w:iCs/>
      <w:color w:val="2E74B5" w:themeColor="accent1" w:themeShade="BF"/>
    </w:rPr>
  </w:style>
  <w:style w:type="paragraph" w:styleId="Citationintense">
    <w:name w:val="Intense Quote"/>
    <w:basedOn w:val="Normal"/>
    <w:next w:val="Normal"/>
    <w:link w:val="CitationintenseCar"/>
    <w:uiPriority w:val="30"/>
    <w:qFormat/>
    <w:rsid w:val="00D27A0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D27A0F"/>
    <w:rPr>
      <w:i/>
      <w:iCs/>
      <w:color w:val="2E74B5" w:themeColor="accent1" w:themeShade="BF"/>
    </w:rPr>
  </w:style>
  <w:style w:type="character" w:styleId="Rfrenceintense">
    <w:name w:val="Intense Reference"/>
    <w:basedOn w:val="Policepardfaut"/>
    <w:uiPriority w:val="32"/>
    <w:qFormat/>
    <w:rsid w:val="00D27A0F"/>
    <w:rPr>
      <w:b/>
      <w:bCs/>
      <w:smallCaps/>
      <w:color w:val="2E74B5" w:themeColor="accent1" w:themeShade="BF"/>
      <w:spacing w:val="5"/>
    </w:rPr>
  </w:style>
  <w:style w:type="character" w:styleId="Lienhypertexte">
    <w:name w:val="Hyperlink"/>
    <w:basedOn w:val="Policepardfaut"/>
    <w:uiPriority w:val="99"/>
    <w:unhideWhenUsed/>
    <w:rsid w:val="00C54D76"/>
    <w:rPr>
      <w:color w:val="0563C1" w:themeColor="hyperlink"/>
      <w:u w:val="single"/>
    </w:rPr>
  </w:style>
  <w:style w:type="character" w:styleId="Mentionnonrsolue">
    <w:name w:val="Unresolved Mention"/>
    <w:basedOn w:val="Policepardfaut"/>
    <w:uiPriority w:val="99"/>
    <w:semiHidden/>
    <w:unhideWhenUsed/>
    <w:rsid w:val="00C54D76"/>
    <w:rPr>
      <w:color w:val="605E5C"/>
      <w:shd w:val="clear" w:color="auto" w:fill="E1DFDD"/>
    </w:rPr>
  </w:style>
  <w:style w:type="paragraph" w:styleId="Notedebasdepage">
    <w:name w:val="footnote text"/>
    <w:basedOn w:val="Normal"/>
    <w:link w:val="NotedebasdepageCar"/>
    <w:uiPriority w:val="99"/>
    <w:unhideWhenUsed/>
    <w:qFormat/>
    <w:rsid w:val="00634399"/>
    <w:rPr>
      <w:rFonts w:asciiTheme="minorHAnsi" w:eastAsiaTheme="minorHAnsi" w:hAnsiTheme="minorHAnsi" w:cstheme="minorBidi"/>
      <w:kern w:val="2"/>
      <w:sz w:val="20"/>
      <w:szCs w:val="20"/>
      <w:lang w:eastAsia="en-US"/>
      <w14:ligatures w14:val="standardContextual"/>
    </w:rPr>
  </w:style>
  <w:style w:type="character" w:customStyle="1" w:styleId="NotedebasdepageCar">
    <w:name w:val="Note de bas de page Car"/>
    <w:basedOn w:val="Policepardfaut"/>
    <w:link w:val="Notedebasdepage"/>
    <w:uiPriority w:val="99"/>
    <w:rsid w:val="00634399"/>
    <w:rPr>
      <w:sz w:val="20"/>
      <w:szCs w:val="20"/>
    </w:rPr>
  </w:style>
  <w:style w:type="character" w:styleId="Appelnotedebasdep">
    <w:name w:val="footnote reference"/>
    <w:basedOn w:val="Policepardfaut"/>
    <w:uiPriority w:val="99"/>
    <w:unhideWhenUsed/>
    <w:qFormat/>
    <w:rsid w:val="00634399"/>
    <w:rPr>
      <w:vertAlign w:val="superscript"/>
    </w:rPr>
  </w:style>
  <w:style w:type="paragraph" w:styleId="En-tte">
    <w:name w:val="header"/>
    <w:basedOn w:val="Normal"/>
    <w:link w:val="En-tteCar"/>
    <w:uiPriority w:val="99"/>
    <w:unhideWhenUsed/>
    <w:rsid w:val="00B77111"/>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En-tteCar">
    <w:name w:val="En-tête Car"/>
    <w:basedOn w:val="Policepardfaut"/>
    <w:link w:val="En-tte"/>
    <w:uiPriority w:val="99"/>
    <w:rsid w:val="00B77111"/>
  </w:style>
  <w:style w:type="paragraph" w:styleId="Pieddepage">
    <w:name w:val="footer"/>
    <w:basedOn w:val="Normal"/>
    <w:link w:val="PieddepageCar"/>
    <w:uiPriority w:val="99"/>
    <w:unhideWhenUsed/>
    <w:rsid w:val="00B77111"/>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PieddepageCar">
    <w:name w:val="Pied de page Car"/>
    <w:basedOn w:val="Policepardfaut"/>
    <w:link w:val="Pieddepage"/>
    <w:uiPriority w:val="99"/>
    <w:rsid w:val="00B7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fabula.org/lht/27/cavallin.html" TargetMode="External"/><Relationship Id="rId1" Type="http://schemas.openxmlformats.org/officeDocument/2006/relationships/hyperlink" Target="https://listes.u-picardie.fr/wws/d_read/sjpinfo/HDR%20S%20Dournel.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6D34A-0983-4062-9973-D45750D1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1739</Words>
  <Characters>8908</Characters>
  <Application>Microsoft Office Word</Application>
  <DocSecurity>0</DocSecurity>
  <Lines>178</Lines>
  <Paragraphs>28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THIEBAUT</dc:creator>
  <cp:keywords/>
  <dc:description/>
  <cp:lastModifiedBy>Claude THIEBAUT</cp:lastModifiedBy>
  <cp:revision>3</cp:revision>
  <dcterms:created xsi:type="dcterms:W3CDTF">2026-03-23T14:50:00Z</dcterms:created>
  <dcterms:modified xsi:type="dcterms:W3CDTF">2026-03-23T14:51:00Z</dcterms:modified>
</cp:coreProperties>
</file>